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8" w:after="1"/>
        <w:rPr>
          <w:rFonts w:ascii="Times New Roman"/>
        </w:rPr>
      </w:pPr>
    </w:p>
    <w:p>
      <w:pPr>
        <w:pStyle w:val="BodyText"/>
        <w:ind w:left="2764"/>
        <w:rPr>
          <w:rFonts w:ascii="Times New Roman"/>
        </w:rPr>
      </w:pPr>
      <w:r>
        <w:rPr>
          <w:rFonts w:ascii="Times New Roman"/>
        </w:rPr>
        <w:drawing>
          <wp:inline distT="0" distB="0" distL="0" distR="0">
            <wp:extent cx="2738191" cy="103403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738191" cy="1034033"/>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10"/>
        </w:rPr>
      </w:pPr>
      <w:r>
        <w:rPr/>
        <w:pict>
          <v:shape style="position:absolute;margin-left:58.080002pt;margin-top:8.083906pt;width:491.65pt;height:31.2pt;mso-position-horizontal-relative:page;mso-position-vertical-relative:paragraph;z-index:-251658240;mso-wrap-distance-left:0;mso-wrap-distance-right:0" type="#_x0000_t202" filled="false" stroked="true" strokeweight=".48004pt" strokecolor="#000000">
            <v:textbox inset="0,0,0,0">
              <w:txbxContent>
                <w:p>
                  <w:pPr>
                    <w:spacing w:before="113"/>
                    <w:ind w:left="1951" w:right="1952" w:firstLine="0"/>
                    <w:jc w:val="center"/>
                    <w:rPr>
                      <w:b/>
                      <w:sz w:val="36"/>
                    </w:rPr>
                  </w:pPr>
                  <w:r>
                    <w:rPr>
                      <w:b/>
                      <w:sz w:val="36"/>
                    </w:rPr>
                    <w:t>CLINICAL TRIAL INVESTIGATORS</w:t>
                  </w:r>
                </w:p>
              </w:txbxContent>
            </v:textbox>
            <v:stroke dashstyle="solid"/>
            <w10:wrap type="topAndBottom"/>
          </v:shape>
        </w:pict>
      </w:r>
    </w:p>
    <w:p>
      <w:pPr>
        <w:pStyle w:val="BodyText"/>
        <w:rPr>
          <w:rFonts w:ascii="Times New Roman"/>
        </w:rPr>
      </w:pPr>
    </w:p>
    <w:p>
      <w:pPr>
        <w:spacing w:before="220"/>
        <w:ind w:left="2124" w:right="2227" w:firstLine="0"/>
        <w:jc w:val="center"/>
        <w:rPr>
          <w:b/>
          <w:sz w:val="28"/>
        </w:rPr>
      </w:pPr>
      <w:r>
        <w:rPr>
          <w:b/>
          <w:sz w:val="28"/>
        </w:rPr>
        <w:t>TO ALL APPLICANTS OF CLINICAL TRIALS</w:t>
      </w:r>
    </w:p>
    <w:p>
      <w:pPr>
        <w:pStyle w:val="BodyText"/>
        <w:rPr>
          <w:b/>
          <w:sz w:val="30"/>
        </w:rPr>
      </w:pPr>
    </w:p>
    <w:p>
      <w:pPr>
        <w:pStyle w:val="Heading1"/>
        <w:spacing w:line="292" w:lineRule="auto" w:before="224"/>
        <w:ind w:right="218" w:firstLine="0"/>
        <w:jc w:val="both"/>
      </w:pPr>
      <w:r>
        <w:rPr/>
        <w:t>NB: The Clinical Trials Investigators communication has been amended to provide clarity on the conditions applicable to Co-Principal Investigator. The current version replaces the Clinical Trials Investigators Nov 2016 communication published Dec 2016.</w:t>
      </w:r>
    </w:p>
    <w:p>
      <w:pPr>
        <w:pStyle w:val="BodyText"/>
        <w:spacing w:before="4"/>
        <w:rPr>
          <w:b/>
          <w:sz w:val="31"/>
        </w:rPr>
      </w:pPr>
    </w:p>
    <w:p>
      <w:pPr>
        <w:pStyle w:val="BodyText"/>
        <w:spacing w:line="292" w:lineRule="auto"/>
        <w:ind w:left="120" w:right="215"/>
        <w:jc w:val="both"/>
      </w:pPr>
      <w:r>
        <w:rPr/>
        <w:t>The South African Health Products Regulatory Authority (SAHPRA) recognises the importance of good oversight of clinical trials. SAHPRA also recognises that over the past twenty years the complexity of clinical trials has changed, requiring combination teams of either differently-skilled clinicians and/or suitably qualified clinical research scientists to lead the team. Noting these changing requirements, SAHPRA has reviewed the oversight of clinical trials and is recommending that new categories of investigators for trial leadership will be recognised and approved. Currently, SAHPRA’s guidelines define the roles of principal investigators and sub- investigators. In addition to the aforementioned, SAHPRA resolved to define a new category of a </w:t>
      </w:r>
      <w:r>
        <w:rPr>
          <w:b/>
        </w:rPr>
        <w:t>Co-Principal Investigator</w:t>
      </w:r>
      <w:r>
        <w:rPr/>
        <w:t>. This category will allow both clinician and non-clinician scientists to assume the role of </w:t>
      </w:r>
      <w:r>
        <w:rPr>
          <w:b/>
        </w:rPr>
        <w:t>Co- Principal Investigator </w:t>
      </w:r>
      <w:r>
        <w:rPr/>
        <w:t>for approved clinical trials. This will enhance trial leadership and has the potential to build capacity to undertake clinical trials in the country.</w:t>
      </w:r>
    </w:p>
    <w:p>
      <w:pPr>
        <w:pStyle w:val="BodyText"/>
        <w:spacing w:before="8"/>
        <w:rPr>
          <w:sz w:val="30"/>
        </w:rPr>
      </w:pPr>
    </w:p>
    <w:p>
      <w:pPr>
        <w:pStyle w:val="Heading1"/>
        <w:numPr>
          <w:ilvl w:val="0"/>
          <w:numId w:val="1"/>
        </w:numPr>
        <w:tabs>
          <w:tab w:pos="686" w:val="left" w:leader="none"/>
          <w:tab w:pos="687" w:val="left" w:leader="none"/>
        </w:tabs>
        <w:spacing w:line="240" w:lineRule="auto" w:before="0" w:after="0"/>
        <w:ind w:left="686" w:right="0" w:hanging="567"/>
        <w:jc w:val="left"/>
      </w:pPr>
      <w:r>
        <w:rPr/>
        <w:t>Principal Investigator and</w:t>
      </w:r>
      <w:r>
        <w:rPr>
          <w:spacing w:val="-1"/>
        </w:rPr>
        <w:t> </w:t>
      </w:r>
      <w:r>
        <w:rPr/>
        <w:t>Sub-investigators</w:t>
      </w:r>
    </w:p>
    <w:p>
      <w:pPr>
        <w:pStyle w:val="BodyText"/>
        <w:spacing w:line="290" w:lineRule="auto" w:before="174"/>
        <w:ind w:left="686" w:right="227"/>
        <w:jc w:val="both"/>
        <w:rPr>
          <w:b/>
        </w:rPr>
      </w:pPr>
      <w:r>
        <w:rPr/>
        <w:t>According to the current ICH-GCP Guidelines, an investigator in a clinical trial is a suitably qualified person responsible for the conduct of the clinical trial at a trial site or with oversight of several trial sites.  If a trial is conducted by a team of individuals at a trial site, the investigator who is the responsible leader of the team is called the </w:t>
      </w:r>
      <w:r>
        <w:rPr>
          <w:b/>
        </w:rPr>
        <w:t>Principal Investigator (PI).</w:t>
      </w:r>
    </w:p>
    <w:p>
      <w:pPr>
        <w:pStyle w:val="BodyText"/>
        <w:spacing w:line="295" w:lineRule="auto" w:before="123"/>
        <w:ind w:left="686" w:right="221"/>
        <w:jc w:val="both"/>
      </w:pPr>
      <w:r>
        <w:rPr/>
        <w:t>A </w:t>
      </w:r>
      <w:r>
        <w:rPr>
          <w:b/>
        </w:rPr>
        <w:t>Sub-Investigator (Sub-I) </w:t>
      </w:r>
      <w:r>
        <w:rPr/>
        <w:t>is any individual member of the clinical trial team who is designated and/or supervised by the </w:t>
      </w:r>
      <w:r>
        <w:rPr>
          <w:b/>
        </w:rPr>
        <w:t>Principal Investigator </w:t>
      </w:r>
      <w:r>
        <w:rPr/>
        <w:t>at a trial site to perform critical trial-related procedures and/or to make important trial-related</w:t>
      </w:r>
      <w:r>
        <w:rPr>
          <w:spacing w:val="-5"/>
        </w:rPr>
        <w:t> </w:t>
      </w:r>
      <w:r>
        <w:rPr/>
        <w:t>decisions.</w:t>
      </w:r>
    </w:p>
    <w:p>
      <w:pPr>
        <w:pStyle w:val="BodyText"/>
        <w:spacing w:line="295" w:lineRule="auto" w:before="112"/>
        <w:ind w:left="686" w:right="224"/>
        <w:jc w:val="both"/>
      </w:pPr>
      <w:r>
        <w:rPr/>
        <w:t>SAHPRA resolved that at least one of the </w:t>
      </w:r>
      <w:r>
        <w:rPr>
          <w:b/>
        </w:rPr>
        <w:t>Sub-Investigators </w:t>
      </w:r>
      <w:r>
        <w:rPr/>
        <w:t>at any trial site must be a clinician, registered with the appropriate statutory body and qualified to provide clinical oversight within his/her scope of practice.</w:t>
      </w:r>
    </w:p>
    <w:p>
      <w:pPr>
        <w:pStyle w:val="BodyText"/>
        <w:spacing w:before="113"/>
        <w:ind w:left="686"/>
        <w:jc w:val="both"/>
      </w:pPr>
      <w:r>
        <w:rPr/>
        <w:t>According  to  the  South  African  Department  of  Health  Good  Clinical  Practice  Guidelines  2006,</w:t>
      </w:r>
      <w:r>
        <w:rPr>
          <w:spacing w:val="34"/>
        </w:rPr>
        <w:t> </w:t>
      </w:r>
      <w:r>
        <w:rPr/>
        <w:t>the</w:t>
      </w:r>
    </w:p>
    <w:p>
      <w:pPr>
        <w:spacing w:before="49"/>
        <w:ind w:left="686" w:right="0" w:firstLine="0"/>
        <w:jc w:val="both"/>
        <w:rPr>
          <w:sz w:val="20"/>
        </w:rPr>
      </w:pPr>
      <w:r>
        <w:rPr>
          <w:b/>
          <w:sz w:val="20"/>
        </w:rPr>
        <w:t>Principal</w:t>
      </w:r>
      <w:r>
        <w:rPr>
          <w:b/>
          <w:spacing w:val="14"/>
          <w:sz w:val="20"/>
        </w:rPr>
        <w:t> </w:t>
      </w:r>
      <w:r>
        <w:rPr>
          <w:b/>
          <w:sz w:val="20"/>
        </w:rPr>
        <w:t>Investigator</w:t>
      </w:r>
      <w:r>
        <w:rPr>
          <w:b/>
          <w:spacing w:val="17"/>
          <w:sz w:val="20"/>
        </w:rPr>
        <w:t> </w:t>
      </w:r>
      <w:r>
        <w:rPr>
          <w:sz w:val="20"/>
        </w:rPr>
        <w:t>must</w:t>
      </w:r>
      <w:r>
        <w:rPr>
          <w:spacing w:val="15"/>
          <w:sz w:val="20"/>
        </w:rPr>
        <w:t> </w:t>
      </w:r>
      <w:r>
        <w:rPr>
          <w:sz w:val="20"/>
        </w:rPr>
        <w:t>be</w:t>
      </w:r>
      <w:r>
        <w:rPr>
          <w:spacing w:val="13"/>
          <w:sz w:val="20"/>
        </w:rPr>
        <w:t> </w:t>
      </w:r>
      <w:r>
        <w:rPr>
          <w:sz w:val="20"/>
        </w:rPr>
        <w:t>a</w:t>
      </w:r>
      <w:r>
        <w:rPr>
          <w:spacing w:val="17"/>
          <w:sz w:val="20"/>
        </w:rPr>
        <w:t> </w:t>
      </w:r>
      <w:r>
        <w:rPr>
          <w:sz w:val="20"/>
        </w:rPr>
        <w:t>South</w:t>
      </w:r>
      <w:r>
        <w:rPr>
          <w:spacing w:val="16"/>
          <w:sz w:val="20"/>
        </w:rPr>
        <w:t> </w:t>
      </w:r>
      <w:r>
        <w:rPr>
          <w:sz w:val="20"/>
        </w:rPr>
        <w:t>Africa-based</w:t>
      </w:r>
      <w:r>
        <w:rPr>
          <w:spacing w:val="16"/>
          <w:sz w:val="20"/>
        </w:rPr>
        <w:t> </w:t>
      </w:r>
      <w:r>
        <w:rPr>
          <w:sz w:val="20"/>
        </w:rPr>
        <w:t>scientist</w:t>
      </w:r>
      <w:r>
        <w:rPr>
          <w:spacing w:val="16"/>
          <w:sz w:val="20"/>
        </w:rPr>
        <w:t> </w:t>
      </w:r>
      <w:r>
        <w:rPr>
          <w:sz w:val="20"/>
        </w:rPr>
        <w:t>who</w:t>
      </w:r>
      <w:r>
        <w:rPr>
          <w:spacing w:val="16"/>
          <w:sz w:val="20"/>
        </w:rPr>
        <w:t> </w:t>
      </w:r>
      <w:r>
        <w:rPr>
          <w:sz w:val="20"/>
        </w:rPr>
        <w:t>has</w:t>
      </w:r>
      <w:r>
        <w:rPr>
          <w:spacing w:val="16"/>
          <w:sz w:val="20"/>
        </w:rPr>
        <w:t> </w:t>
      </w:r>
      <w:r>
        <w:rPr>
          <w:sz w:val="20"/>
        </w:rPr>
        <w:t>a</w:t>
      </w:r>
      <w:r>
        <w:rPr>
          <w:spacing w:val="13"/>
          <w:sz w:val="20"/>
        </w:rPr>
        <w:t> </w:t>
      </w:r>
      <w:r>
        <w:rPr>
          <w:sz w:val="20"/>
        </w:rPr>
        <w:t>sole</w:t>
      </w:r>
      <w:r>
        <w:rPr>
          <w:spacing w:val="14"/>
          <w:sz w:val="20"/>
        </w:rPr>
        <w:t> </w:t>
      </w:r>
      <w:r>
        <w:rPr>
          <w:sz w:val="20"/>
        </w:rPr>
        <w:t>or</w:t>
      </w:r>
      <w:r>
        <w:rPr>
          <w:spacing w:val="14"/>
          <w:sz w:val="20"/>
        </w:rPr>
        <w:t> </w:t>
      </w:r>
      <w:r>
        <w:rPr>
          <w:sz w:val="20"/>
        </w:rPr>
        <w:t>joint</w:t>
      </w:r>
      <w:r>
        <w:rPr>
          <w:spacing w:val="14"/>
          <w:sz w:val="20"/>
        </w:rPr>
        <w:t> </w:t>
      </w:r>
      <w:r>
        <w:rPr>
          <w:sz w:val="20"/>
        </w:rPr>
        <w:t>responsibility</w:t>
      </w:r>
      <w:r>
        <w:rPr>
          <w:spacing w:val="10"/>
          <w:sz w:val="20"/>
        </w:rPr>
        <w:t> </w:t>
      </w:r>
      <w:r>
        <w:rPr>
          <w:sz w:val="20"/>
        </w:rPr>
        <w:t>for</w:t>
      </w:r>
    </w:p>
    <w:p>
      <w:pPr>
        <w:spacing w:after="0"/>
        <w:jc w:val="both"/>
        <w:rPr>
          <w:sz w:val="20"/>
        </w:rPr>
        <w:sectPr>
          <w:headerReference w:type="default" r:id="rId5"/>
          <w:footerReference w:type="default" r:id="rId6"/>
          <w:type w:val="continuous"/>
          <w:pgSz w:w="11910" w:h="16850"/>
          <w:pgMar w:header="1135" w:footer="1181" w:top="1420" w:bottom="1380" w:left="900" w:right="800"/>
          <w:pgNumType w:start="1"/>
        </w:sectPr>
      </w:pPr>
    </w:p>
    <w:p>
      <w:pPr>
        <w:pStyle w:val="BodyText"/>
        <w:spacing w:line="292" w:lineRule="auto" w:before="82"/>
        <w:ind w:left="686" w:right="220"/>
        <w:jc w:val="both"/>
      </w:pPr>
      <w:r>
        <w:rPr/>
        <w:t>the design, conduct, delegation of trial responsibilities, analysis and reporting of the trial. The </w:t>
      </w:r>
      <w:r>
        <w:rPr>
          <w:b/>
        </w:rPr>
        <w:t>Principal Investigator </w:t>
      </w:r>
      <w:r>
        <w:rPr/>
        <w:t>is accountable to the Sponsor/Applicant and to the regulatory authorities, as required by these Guidelines. The </w:t>
      </w:r>
      <w:r>
        <w:rPr>
          <w:b/>
        </w:rPr>
        <w:t>Principal Investigator </w:t>
      </w:r>
      <w:r>
        <w:rPr/>
        <w:t>should be knowledgeable and have an understanding of the study medicine(s), including toxicology and safety. In the case of a multi-centre trial there must be a local </w:t>
      </w:r>
      <w:r>
        <w:rPr>
          <w:b/>
        </w:rPr>
        <w:t>Principal Investigator </w:t>
      </w:r>
      <w:r>
        <w:rPr/>
        <w:t>responsible for each study site. It is unacceptable to have an "absentee" </w:t>
      </w:r>
      <w:r>
        <w:rPr>
          <w:b/>
        </w:rPr>
        <w:t>Principal Investigator </w:t>
      </w:r>
      <w:r>
        <w:rPr/>
        <w:t>who is based in another city or country. If there are multiple sites in South Africa  it is recommended that a </w:t>
      </w:r>
      <w:r>
        <w:rPr>
          <w:b/>
        </w:rPr>
        <w:t>National Principal Investigator </w:t>
      </w:r>
      <w:r>
        <w:rPr/>
        <w:t>be appointed, who will take overall responsibility for the conduct of the</w:t>
      </w:r>
      <w:r>
        <w:rPr>
          <w:spacing w:val="-7"/>
        </w:rPr>
        <w:t> </w:t>
      </w:r>
      <w:r>
        <w:rPr/>
        <w:t>study.</w:t>
      </w:r>
    </w:p>
    <w:p>
      <w:pPr>
        <w:pStyle w:val="BodyText"/>
        <w:spacing w:before="10"/>
        <w:rPr>
          <w:sz w:val="30"/>
        </w:rPr>
      </w:pPr>
    </w:p>
    <w:p>
      <w:pPr>
        <w:pStyle w:val="Heading1"/>
        <w:numPr>
          <w:ilvl w:val="0"/>
          <w:numId w:val="1"/>
        </w:numPr>
        <w:tabs>
          <w:tab w:pos="686" w:val="left" w:leader="none"/>
          <w:tab w:pos="687" w:val="left" w:leader="none"/>
        </w:tabs>
        <w:spacing w:line="240" w:lineRule="auto" w:before="0" w:after="0"/>
        <w:ind w:left="686" w:right="0" w:hanging="567"/>
        <w:jc w:val="left"/>
      </w:pPr>
      <w:r>
        <w:rPr/>
        <w:t>Co-Principal</w:t>
      </w:r>
      <w:r>
        <w:rPr>
          <w:spacing w:val="-2"/>
        </w:rPr>
        <w:t> </w:t>
      </w:r>
      <w:r>
        <w:rPr/>
        <w:t>Investigator</w:t>
      </w:r>
    </w:p>
    <w:p>
      <w:pPr>
        <w:pStyle w:val="BodyText"/>
        <w:spacing w:line="292" w:lineRule="auto" w:before="171"/>
        <w:ind w:left="686" w:right="219"/>
        <w:jc w:val="both"/>
      </w:pPr>
      <w:r>
        <w:rPr/>
        <w:t>SAHPRA recognises that there may be instances where the </w:t>
      </w:r>
      <w:r>
        <w:rPr>
          <w:b/>
        </w:rPr>
        <w:t>Principal Investigator </w:t>
      </w:r>
      <w:r>
        <w:rPr/>
        <w:t>for a trial may be a suitably qualified non-clinician scientist. This type of investigator may be a laboratory scientist, pharmacist, or other appropriately qualified and experienced person, who is able to provide critical trial oversight and management and can lead a study team.</w:t>
      </w:r>
    </w:p>
    <w:p>
      <w:pPr>
        <w:pStyle w:val="BodyText"/>
        <w:spacing w:line="292" w:lineRule="auto" w:before="122"/>
        <w:ind w:left="686" w:right="220"/>
        <w:jc w:val="both"/>
      </w:pPr>
      <w:r>
        <w:rPr/>
        <w:t>In the above instance SAHPRA currently requires that an adequately qualified research clinician also be part of the leadership team. There may also be instances where more than one clinical speciality is required for the clinical management of participants in a study, thereby requiring more than one clinical investigator’s core skills to ensure proper management of trial procedures and participants.</w:t>
      </w:r>
    </w:p>
    <w:p>
      <w:pPr>
        <w:pStyle w:val="BodyText"/>
        <w:spacing w:line="292" w:lineRule="auto" w:before="113"/>
        <w:ind w:left="686" w:right="217"/>
        <w:jc w:val="both"/>
      </w:pPr>
      <w:r>
        <w:rPr/>
        <w:t>For these reasons SAHPRA has introduced a category of </w:t>
      </w:r>
      <w:r>
        <w:rPr>
          <w:b/>
        </w:rPr>
        <w:t>Co-Principal Investigator (Co-PI)</w:t>
      </w:r>
      <w:r>
        <w:rPr/>
        <w:t>, which allows for a team consisting of two </w:t>
      </w:r>
      <w:r>
        <w:rPr>
          <w:b/>
        </w:rPr>
        <w:t>Co-Principal Investigators </w:t>
      </w:r>
      <w:r>
        <w:rPr/>
        <w:t>to lead a study at a site.  The role of  each </w:t>
      </w:r>
      <w:r>
        <w:rPr>
          <w:b/>
        </w:rPr>
        <w:t>Co-Principal Investigator </w:t>
      </w:r>
      <w:r>
        <w:rPr/>
        <w:t>should be described for the study, and their complementary responsibilities carefully detailed, so that all the responsibilites of a PI as defined are covered. At least one of the </w:t>
      </w:r>
      <w:r>
        <w:rPr>
          <w:b/>
        </w:rPr>
        <w:t>Co-Principal Investigators </w:t>
      </w:r>
      <w:r>
        <w:rPr/>
        <w:t>must be a clinician registered with the appropriate statutory body and qualified to provide clinical oversight within his/her scope of practice. While the co-PIs will have defined and separate roles and functions in relation to the conduct of the trial, in terms of legal responsibility they will be jointly and severally</w:t>
      </w:r>
      <w:r>
        <w:rPr>
          <w:spacing w:val="-11"/>
        </w:rPr>
        <w:t> </w:t>
      </w:r>
      <w:r>
        <w:rPr/>
        <w:t>liable.</w:t>
      </w:r>
    </w:p>
    <w:p>
      <w:pPr>
        <w:spacing w:line="292" w:lineRule="auto" w:before="118"/>
        <w:ind w:left="686" w:right="217" w:firstLine="0"/>
        <w:jc w:val="both"/>
        <w:rPr>
          <w:sz w:val="20"/>
        </w:rPr>
      </w:pPr>
      <w:r>
        <w:rPr>
          <w:sz w:val="20"/>
        </w:rPr>
        <w:t>For multi-centred studies there must be a </w:t>
      </w:r>
      <w:r>
        <w:rPr>
          <w:b/>
          <w:sz w:val="20"/>
        </w:rPr>
        <w:t>National Principal Investigator </w:t>
      </w:r>
      <w:r>
        <w:rPr>
          <w:sz w:val="20"/>
        </w:rPr>
        <w:t>appointed, who may or may not be a site </w:t>
      </w:r>
      <w:r>
        <w:rPr>
          <w:b/>
          <w:sz w:val="20"/>
        </w:rPr>
        <w:t>Principal Investigator</w:t>
      </w:r>
      <w:r>
        <w:rPr>
          <w:sz w:val="20"/>
        </w:rPr>
        <w:t>. The </w:t>
      </w:r>
      <w:r>
        <w:rPr>
          <w:b/>
          <w:sz w:val="20"/>
        </w:rPr>
        <w:t>National Principal Investigator </w:t>
      </w:r>
      <w:r>
        <w:rPr>
          <w:sz w:val="20"/>
        </w:rPr>
        <w:t>must have appropriate experience and expertise in the clinical field of the study and must be responsible for the application to SAHPRA to conduct the study. The </w:t>
      </w:r>
      <w:r>
        <w:rPr>
          <w:b/>
          <w:sz w:val="20"/>
        </w:rPr>
        <w:t>National Principal Investigator </w:t>
      </w:r>
      <w:r>
        <w:rPr>
          <w:sz w:val="20"/>
        </w:rPr>
        <w:t>must meet all other requirements to be a </w:t>
      </w:r>
      <w:r>
        <w:rPr>
          <w:b/>
          <w:sz w:val="20"/>
        </w:rPr>
        <w:t>Principal Investigator </w:t>
      </w:r>
      <w:r>
        <w:rPr>
          <w:sz w:val="20"/>
        </w:rPr>
        <w:t>and must sign a declaration accepting the responsibility as </w:t>
      </w:r>
      <w:r>
        <w:rPr>
          <w:b/>
          <w:sz w:val="20"/>
        </w:rPr>
        <w:t>National Principal Investigator </w:t>
      </w:r>
      <w:r>
        <w:rPr>
          <w:sz w:val="20"/>
        </w:rPr>
        <w:t>and sign off the Clinical Trial Form (CTF) application. The </w:t>
      </w:r>
      <w:r>
        <w:rPr>
          <w:b/>
          <w:sz w:val="20"/>
        </w:rPr>
        <w:t>National Principal Investigator </w:t>
      </w:r>
      <w:r>
        <w:rPr>
          <w:sz w:val="20"/>
        </w:rPr>
        <w:t>must coordinate concerns of investigators regarding the conduct of the trial and communicate these with sponsor, applicant, ethics committees and SAHPRA as necessary.</w:t>
      </w:r>
    </w:p>
    <w:p>
      <w:pPr>
        <w:spacing w:before="114"/>
        <w:ind w:left="686" w:right="0" w:firstLine="0"/>
        <w:jc w:val="both"/>
        <w:rPr>
          <w:sz w:val="20"/>
        </w:rPr>
      </w:pPr>
      <w:r>
        <w:rPr>
          <w:sz w:val="20"/>
        </w:rPr>
        <w:t>Where </w:t>
      </w:r>
      <w:r>
        <w:rPr>
          <w:b/>
          <w:sz w:val="20"/>
        </w:rPr>
        <w:t>Co-Principal Investigators </w:t>
      </w:r>
      <w:r>
        <w:rPr>
          <w:sz w:val="20"/>
        </w:rPr>
        <w:t>are appointed, the following conditions apply:</w:t>
      </w:r>
    </w:p>
    <w:p>
      <w:pPr>
        <w:pStyle w:val="ListParagraph"/>
        <w:numPr>
          <w:ilvl w:val="1"/>
          <w:numId w:val="1"/>
        </w:numPr>
        <w:tabs>
          <w:tab w:pos="1254" w:val="left" w:leader="none"/>
        </w:tabs>
        <w:spacing w:line="292" w:lineRule="auto" w:before="171" w:after="0"/>
        <w:ind w:left="1253" w:right="220" w:hanging="567"/>
        <w:jc w:val="both"/>
        <w:rPr>
          <w:sz w:val="20"/>
        </w:rPr>
      </w:pPr>
      <w:r>
        <w:rPr>
          <w:sz w:val="20"/>
        </w:rPr>
        <w:t>Appropriate and acceptable reasons must be provided for the appointment of two </w:t>
      </w:r>
      <w:r>
        <w:rPr>
          <w:b/>
          <w:sz w:val="20"/>
        </w:rPr>
        <w:t>Co-Principal Investigators</w:t>
      </w:r>
      <w:r>
        <w:rPr>
          <w:sz w:val="20"/>
        </w:rPr>
        <w:t>. Such applications will be considered and approval granted on a case-by-case basis.</w:t>
      </w:r>
    </w:p>
    <w:p>
      <w:pPr>
        <w:pStyle w:val="ListParagraph"/>
        <w:numPr>
          <w:ilvl w:val="1"/>
          <w:numId w:val="1"/>
        </w:numPr>
        <w:tabs>
          <w:tab w:pos="1254" w:val="left" w:leader="none"/>
        </w:tabs>
        <w:spacing w:line="290" w:lineRule="auto" w:before="0" w:after="0"/>
        <w:ind w:left="1253" w:right="220" w:hanging="567"/>
        <w:jc w:val="both"/>
        <w:rPr>
          <w:b/>
          <w:sz w:val="20"/>
        </w:rPr>
      </w:pPr>
      <w:r>
        <w:rPr>
          <w:sz w:val="20"/>
        </w:rPr>
        <w:t>Both </w:t>
      </w:r>
      <w:r>
        <w:rPr>
          <w:b/>
          <w:sz w:val="20"/>
        </w:rPr>
        <w:t>Co-Principal Investigators </w:t>
      </w:r>
      <w:r>
        <w:rPr>
          <w:sz w:val="20"/>
        </w:rPr>
        <w:t>must meet all the requirements of being a </w:t>
      </w:r>
      <w:r>
        <w:rPr>
          <w:b/>
          <w:sz w:val="20"/>
        </w:rPr>
        <w:t>Principal Investigator.</w:t>
      </w:r>
    </w:p>
    <w:p>
      <w:pPr>
        <w:pStyle w:val="ListParagraph"/>
        <w:numPr>
          <w:ilvl w:val="1"/>
          <w:numId w:val="1"/>
        </w:numPr>
        <w:tabs>
          <w:tab w:pos="1254" w:val="left" w:leader="none"/>
        </w:tabs>
        <w:spacing w:line="292" w:lineRule="auto" w:before="2" w:after="0"/>
        <w:ind w:left="1253" w:right="220" w:hanging="567"/>
        <w:jc w:val="both"/>
        <w:rPr>
          <w:sz w:val="20"/>
        </w:rPr>
      </w:pPr>
      <w:r>
        <w:rPr>
          <w:sz w:val="20"/>
        </w:rPr>
        <w:t>At least one </w:t>
      </w:r>
      <w:r>
        <w:rPr>
          <w:b/>
          <w:sz w:val="20"/>
        </w:rPr>
        <w:t>Co-Principal Investigator </w:t>
      </w:r>
      <w:r>
        <w:rPr>
          <w:sz w:val="20"/>
        </w:rPr>
        <w:t>must be a clinician, registered with the appropriate statutory body, qualified to provide medical oversight within his/her scope of practice, and provide professional indemnity</w:t>
      </w:r>
      <w:r>
        <w:rPr>
          <w:spacing w:val="-3"/>
          <w:sz w:val="20"/>
        </w:rPr>
        <w:t> </w:t>
      </w:r>
      <w:r>
        <w:rPr>
          <w:sz w:val="20"/>
        </w:rPr>
        <w:t>insurance.</w:t>
      </w:r>
    </w:p>
    <w:p>
      <w:pPr>
        <w:spacing w:after="0" w:line="292" w:lineRule="auto"/>
        <w:jc w:val="both"/>
        <w:rPr>
          <w:sz w:val="20"/>
        </w:rPr>
        <w:sectPr>
          <w:pgSz w:w="11910" w:h="16850"/>
          <w:pgMar w:header="1135" w:footer="1181" w:top="1420" w:bottom="1380" w:left="900" w:right="800"/>
        </w:sectPr>
      </w:pPr>
    </w:p>
    <w:p>
      <w:pPr>
        <w:pStyle w:val="ListParagraph"/>
        <w:numPr>
          <w:ilvl w:val="1"/>
          <w:numId w:val="1"/>
        </w:numPr>
        <w:tabs>
          <w:tab w:pos="1254" w:val="left" w:leader="none"/>
        </w:tabs>
        <w:spacing w:line="292" w:lineRule="auto" w:before="82" w:after="0"/>
        <w:ind w:left="1253" w:right="221" w:hanging="567"/>
        <w:jc w:val="both"/>
        <w:rPr>
          <w:sz w:val="20"/>
        </w:rPr>
      </w:pPr>
      <w:r>
        <w:rPr>
          <w:sz w:val="20"/>
        </w:rPr>
        <w:t>The non-clinical </w:t>
      </w:r>
      <w:r>
        <w:rPr>
          <w:b/>
          <w:sz w:val="20"/>
        </w:rPr>
        <w:t>Co-Principal Investigator </w:t>
      </w:r>
      <w:r>
        <w:rPr>
          <w:sz w:val="20"/>
        </w:rPr>
        <w:t>must be registered with the statutory body for his/her profession, where appropriate. In addition, indemnity insurance must be provided regardless of clinical</w:t>
      </w:r>
      <w:r>
        <w:rPr>
          <w:spacing w:val="-1"/>
          <w:sz w:val="20"/>
        </w:rPr>
        <w:t> </w:t>
      </w:r>
      <w:r>
        <w:rPr>
          <w:sz w:val="20"/>
        </w:rPr>
        <w:t>qualification.</w:t>
      </w:r>
    </w:p>
    <w:p>
      <w:pPr>
        <w:pStyle w:val="ListParagraph"/>
        <w:numPr>
          <w:ilvl w:val="1"/>
          <w:numId w:val="1"/>
        </w:numPr>
        <w:tabs>
          <w:tab w:pos="1254" w:val="left" w:leader="none"/>
        </w:tabs>
        <w:spacing w:line="229" w:lineRule="exact" w:before="0" w:after="0"/>
        <w:ind w:left="1253" w:right="0" w:hanging="568"/>
        <w:jc w:val="both"/>
        <w:rPr>
          <w:sz w:val="20"/>
        </w:rPr>
      </w:pPr>
      <w:r>
        <w:rPr>
          <w:sz w:val="20"/>
        </w:rPr>
        <w:t>Both </w:t>
      </w:r>
      <w:r>
        <w:rPr>
          <w:b/>
          <w:sz w:val="20"/>
        </w:rPr>
        <w:t>Co-Principal Investigators </w:t>
      </w:r>
      <w:r>
        <w:rPr>
          <w:sz w:val="20"/>
        </w:rPr>
        <w:t>must be based in South</w:t>
      </w:r>
      <w:r>
        <w:rPr>
          <w:spacing w:val="-3"/>
          <w:sz w:val="20"/>
        </w:rPr>
        <w:t> </w:t>
      </w:r>
      <w:r>
        <w:rPr>
          <w:sz w:val="20"/>
        </w:rPr>
        <w:t>Africa.</w:t>
      </w:r>
    </w:p>
    <w:p>
      <w:pPr>
        <w:pStyle w:val="BodyText"/>
        <w:rPr>
          <w:sz w:val="22"/>
        </w:rPr>
      </w:pPr>
    </w:p>
    <w:p>
      <w:pPr>
        <w:pStyle w:val="BodyText"/>
        <w:rPr>
          <w:sz w:val="22"/>
        </w:rPr>
      </w:pPr>
    </w:p>
    <w:p>
      <w:pPr>
        <w:pStyle w:val="BodyText"/>
        <w:rPr>
          <w:sz w:val="22"/>
        </w:rPr>
      </w:pPr>
    </w:p>
    <w:p>
      <w:pPr>
        <w:pStyle w:val="BodyText"/>
        <w:spacing w:before="4"/>
        <w:rPr>
          <w:sz w:val="18"/>
        </w:rPr>
      </w:pPr>
    </w:p>
    <w:p>
      <w:pPr>
        <w:pStyle w:val="Heading1"/>
        <w:numPr>
          <w:ilvl w:val="0"/>
          <w:numId w:val="1"/>
        </w:numPr>
        <w:tabs>
          <w:tab w:pos="686" w:val="left" w:leader="none"/>
          <w:tab w:pos="687" w:val="left" w:leader="none"/>
        </w:tabs>
        <w:spacing w:line="240" w:lineRule="auto" w:before="1" w:after="0"/>
        <w:ind w:left="686" w:right="0" w:hanging="567"/>
        <w:jc w:val="left"/>
      </w:pPr>
      <w:r>
        <w:rPr/>
        <w:t>UPDATE</w:t>
      </w:r>
      <w:r>
        <w:rPr>
          <w:spacing w:val="-3"/>
        </w:rPr>
        <w:t> </w:t>
      </w:r>
      <w:r>
        <w:rPr/>
        <w:t>HISTORY</w:t>
      </w:r>
    </w:p>
    <w:p>
      <w:pPr>
        <w:pStyle w:val="BodyText"/>
        <w:rPr>
          <w:b/>
        </w:rPr>
      </w:pPr>
    </w:p>
    <w:p>
      <w:pPr>
        <w:pStyle w:val="BodyText"/>
        <w:rPr>
          <w:b/>
        </w:rPr>
      </w:pPr>
    </w:p>
    <w:p>
      <w:pPr>
        <w:pStyle w:val="BodyText"/>
        <w:spacing w:before="9"/>
        <w:rPr>
          <w:b/>
          <w:sz w:val="16"/>
        </w:rPr>
      </w:pPr>
    </w:p>
    <w:tbl>
      <w:tblPr>
        <w:tblW w:w="0" w:type="auto"/>
        <w:jc w:val="left"/>
        <w:tblInd w:w="1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127"/>
        <w:gridCol w:w="4962"/>
        <w:gridCol w:w="2838"/>
      </w:tblGrid>
      <w:tr>
        <w:trPr>
          <w:trHeight w:val="380" w:hRule="atLeast"/>
        </w:trPr>
        <w:tc>
          <w:tcPr>
            <w:tcW w:w="2127" w:type="dxa"/>
            <w:tcBorders>
              <w:bottom w:val="single" w:sz="4" w:space="0" w:color="000000"/>
              <w:right w:val="single" w:sz="4" w:space="0" w:color="000000"/>
            </w:tcBorders>
          </w:tcPr>
          <w:p>
            <w:pPr>
              <w:pStyle w:val="TableParagraph"/>
              <w:rPr>
                <w:b/>
                <w:sz w:val="20"/>
              </w:rPr>
            </w:pPr>
            <w:r>
              <w:rPr>
                <w:b/>
                <w:sz w:val="20"/>
              </w:rPr>
              <w:t>Date</w:t>
            </w:r>
          </w:p>
        </w:tc>
        <w:tc>
          <w:tcPr>
            <w:tcW w:w="4962" w:type="dxa"/>
            <w:tcBorders>
              <w:left w:val="single" w:sz="4" w:space="0" w:color="000000"/>
              <w:bottom w:val="single" w:sz="4" w:space="0" w:color="000000"/>
              <w:right w:val="single" w:sz="4" w:space="0" w:color="000000"/>
            </w:tcBorders>
          </w:tcPr>
          <w:p>
            <w:pPr>
              <w:pStyle w:val="TableParagraph"/>
              <w:ind w:left="110"/>
              <w:rPr>
                <w:b/>
                <w:sz w:val="20"/>
              </w:rPr>
            </w:pPr>
            <w:r>
              <w:rPr>
                <w:b/>
                <w:sz w:val="20"/>
              </w:rPr>
              <w:t>Reason for Update</w:t>
            </w:r>
          </w:p>
        </w:tc>
        <w:tc>
          <w:tcPr>
            <w:tcW w:w="2838" w:type="dxa"/>
            <w:tcBorders>
              <w:left w:val="single" w:sz="4" w:space="0" w:color="000000"/>
              <w:bottom w:val="single" w:sz="4" w:space="0" w:color="000000"/>
            </w:tcBorders>
          </w:tcPr>
          <w:p>
            <w:pPr>
              <w:pStyle w:val="TableParagraph"/>
              <w:ind w:left="109"/>
              <w:rPr>
                <w:b/>
                <w:sz w:val="20"/>
              </w:rPr>
            </w:pPr>
            <w:r>
              <w:rPr>
                <w:b/>
                <w:sz w:val="20"/>
              </w:rPr>
              <w:t>Version &amp; Publication</w:t>
            </w:r>
          </w:p>
        </w:tc>
      </w:tr>
      <w:tr>
        <w:trPr>
          <w:trHeight w:val="395" w:hRule="atLeast"/>
        </w:trPr>
        <w:tc>
          <w:tcPr>
            <w:tcW w:w="2127" w:type="dxa"/>
            <w:tcBorders>
              <w:top w:val="single" w:sz="4" w:space="0" w:color="000000"/>
              <w:bottom w:val="single" w:sz="4" w:space="0" w:color="000000"/>
              <w:right w:val="single" w:sz="4" w:space="0" w:color="000000"/>
            </w:tcBorders>
          </w:tcPr>
          <w:p>
            <w:pPr>
              <w:pStyle w:val="TableParagraph"/>
              <w:spacing w:before="117"/>
              <w:rPr>
                <w:sz w:val="20"/>
              </w:rPr>
            </w:pPr>
            <w:r>
              <w:rPr>
                <w:sz w:val="20"/>
              </w:rPr>
              <w:t>May 2017</w:t>
            </w:r>
          </w:p>
        </w:tc>
        <w:tc>
          <w:tcPr>
            <w:tcW w:w="4962" w:type="dxa"/>
            <w:tcBorders>
              <w:top w:val="single" w:sz="4" w:space="0" w:color="000000"/>
              <w:left w:val="single" w:sz="4" w:space="0" w:color="000000"/>
              <w:bottom w:val="single" w:sz="4" w:space="0" w:color="000000"/>
              <w:right w:val="single" w:sz="4" w:space="0" w:color="000000"/>
            </w:tcBorders>
          </w:tcPr>
          <w:p>
            <w:pPr>
              <w:pStyle w:val="TableParagraph"/>
              <w:ind w:left="110"/>
              <w:rPr>
                <w:sz w:val="20"/>
              </w:rPr>
            </w:pPr>
            <w:r>
              <w:rPr>
                <w:sz w:val="20"/>
              </w:rPr>
              <w:t>First version published for implementation</w:t>
            </w:r>
          </w:p>
        </w:tc>
        <w:tc>
          <w:tcPr>
            <w:tcW w:w="2838" w:type="dxa"/>
            <w:tcBorders>
              <w:top w:val="single" w:sz="4" w:space="0" w:color="000000"/>
              <w:left w:val="single" w:sz="4" w:space="0" w:color="000000"/>
              <w:bottom w:val="single" w:sz="4" w:space="0" w:color="000000"/>
            </w:tcBorders>
          </w:tcPr>
          <w:p>
            <w:pPr>
              <w:pStyle w:val="TableParagraph"/>
              <w:spacing w:before="117"/>
              <w:ind w:left="109"/>
              <w:rPr>
                <w:sz w:val="20"/>
              </w:rPr>
            </w:pPr>
            <w:r>
              <w:rPr>
                <w:sz w:val="20"/>
              </w:rPr>
              <w:t>v1, May 2017</w:t>
            </w:r>
          </w:p>
        </w:tc>
      </w:tr>
      <w:tr>
        <w:trPr>
          <w:trHeight w:val="395" w:hRule="atLeast"/>
        </w:trPr>
        <w:tc>
          <w:tcPr>
            <w:tcW w:w="2127" w:type="dxa"/>
            <w:tcBorders>
              <w:top w:val="single" w:sz="4" w:space="0" w:color="000000"/>
              <w:right w:val="single" w:sz="4" w:space="0" w:color="000000"/>
            </w:tcBorders>
          </w:tcPr>
          <w:p>
            <w:pPr>
              <w:pStyle w:val="TableParagraph"/>
              <w:spacing w:before="115"/>
              <w:rPr>
                <w:sz w:val="20"/>
              </w:rPr>
            </w:pPr>
            <w:r>
              <w:rPr>
                <w:sz w:val="20"/>
              </w:rPr>
              <w:t>May 2019</w:t>
            </w:r>
          </w:p>
        </w:tc>
        <w:tc>
          <w:tcPr>
            <w:tcW w:w="4962" w:type="dxa"/>
            <w:tcBorders>
              <w:top w:val="single" w:sz="4" w:space="0" w:color="000000"/>
              <w:left w:val="single" w:sz="4" w:space="0" w:color="000000"/>
              <w:right w:val="single" w:sz="4" w:space="0" w:color="000000"/>
            </w:tcBorders>
          </w:tcPr>
          <w:p>
            <w:pPr>
              <w:pStyle w:val="TableParagraph"/>
              <w:spacing w:before="108"/>
              <w:ind w:left="110"/>
              <w:rPr>
                <w:sz w:val="20"/>
              </w:rPr>
            </w:pPr>
            <w:r>
              <w:rPr>
                <w:sz w:val="20"/>
              </w:rPr>
              <w:t>Updated administrative changes</w:t>
            </w:r>
          </w:p>
        </w:tc>
        <w:tc>
          <w:tcPr>
            <w:tcW w:w="2838" w:type="dxa"/>
            <w:tcBorders>
              <w:top w:val="single" w:sz="4" w:space="0" w:color="000000"/>
              <w:left w:val="single" w:sz="4" w:space="0" w:color="000000"/>
            </w:tcBorders>
          </w:tcPr>
          <w:p>
            <w:pPr>
              <w:pStyle w:val="TableParagraph"/>
              <w:spacing w:before="115"/>
              <w:ind w:left="109"/>
              <w:rPr>
                <w:sz w:val="20"/>
              </w:rPr>
            </w:pPr>
            <w:r>
              <w:rPr>
                <w:sz w:val="20"/>
              </w:rPr>
              <w:t>v2, May 2019</w:t>
            </w:r>
          </w:p>
        </w:tc>
      </w:tr>
    </w:tbl>
    <w:p>
      <w:pPr>
        <w:pStyle w:val="BodyText"/>
        <w:rPr>
          <w:b/>
        </w:rPr>
      </w:pPr>
    </w:p>
    <w:p>
      <w:pPr>
        <w:pStyle w:val="BodyText"/>
        <w:rPr>
          <w:b/>
        </w:rPr>
      </w:pPr>
    </w:p>
    <w:p>
      <w:pPr>
        <w:pStyle w:val="BodyText"/>
        <w:spacing w:before="4"/>
        <w:rPr>
          <w:b/>
          <w:sz w:val="22"/>
        </w:rPr>
      </w:pPr>
    </w:p>
    <w:p>
      <w:pPr>
        <w:spacing w:before="0"/>
        <w:ind w:left="120" w:right="0" w:firstLine="0"/>
        <w:jc w:val="left"/>
        <w:rPr>
          <w:b/>
          <w:sz w:val="20"/>
        </w:rPr>
      </w:pPr>
      <w:r>
        <w:rPr>
          <w:b/>
          <w:sz w:val="20"/>
        </w:rPr>
        <w:t>MRS P NKAMBULE</w:t>
      </w:r>
    </w:p>
    <w:p>
      <w:pPr>
        <w:spacing w:before="29"/>
        <w:ind w:left="120" w:right="0" w:firstLine="0"/>
        <w:jc w:val="left"/>
        <w:rPr>
          <w:b/>
          <w:sz w:val="20"/>
        </w:rPr>
      </w:pPr>
      <w:r>
        <w:rPr>
          <w:b/>
          <w:sz w:val="20"/>
        </w:rPr>
        <w:t>ACTING CHIEF EXECUTIVE OFFICER</w:t>
      </w:r>
    </w:p>
    <w:sectPr>
      <w:pgSz w:w="11910" w:h="16850"/>
      <w:pgMar w:header="1135" w:footer="1181" w:top="1420" w:bottom="1380" w:left="9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pt;margin-top:771.98175pt;width:207.65pt;height:14.35pt;mso-position-horizontal-relative:page;mso-position-vertical-relative:page;z-index:-251798528" type="#_x0000_t202" filled="false" stroked="false">
          <v:textbox inset="0,0,0,0">
            <w:txbxContent>
              <w:p>
                <w:pPr>
                  <w:spacing w:before="13"/>
                  <w:ind w:left="20" w:right="0" w:firstLine="0"/>
                  <w:jc w:val="left"/>
                  <w:rPr>
                    <w:sz w:val="22"/>
                  </w:rPr>
                </w:pPr>
                <w:r>
                  <w:rPr>
                    <w:b/>
                    <w:i/>
                    <w:sz w:val="18"/>
                  </w:rPr>
                  <w:t>9.84_Clinical_Trial_Investigators</w:t>
                </w:r>
                <w:r>
                  <w:rPr>
                    <w:sz w:val="22"/>
                  </w:rPr>
                  <w:t>_</w:t>
                </w:r>
                <w:r>
                  <w:rPr>
                    <w:b/>
                    <w:i/>
                    <w:sz w:val="18"/>
                  </w:rPr>
                  <w:t>May2019</w:t>
                </w:r>
                <w:r>
                  <w:rPr>
                    <w:sz w:val="22"/>
                  </w:rPr>
                  <w:t>_</w:t>
                </w:r>
                <w:r>
                  <w:rPr>
                    <w:b/>
                    <w:i/>
                    <w:sz w:val="18"/>
                  </w:rPr>
                  <w:t>v2</w:t>
                </w:r>
                <w:r>
                  <w:rPr>
                    <w:sz w:val="22"/>
                  </w:rPr>
                  <w:t>_</w:t>
                </w:r>
              </w:p>
            </w:txbxContent>
          </v:textbox>
          <w10:wrap type="none"/>
        </v:shape>
      </w:pict>
    </w:r>
    <w:r>
      <w:rPr/>
      <w:pict>
        <v:shape style="position:absolute;margin-left:333.630005pt;margin-top:773.828491pt;width:42.05pt;height:12.1pt;mso-position-horizontal-relative:page;mso-position-vertical-relative:page;z-index:-251797504" type="#_x0000_t202" filled="false" stroked="false">
          <v:textbox inset="0,0,0,0">
            <w:txbxContent>
              <w:p>
                <w:pPr>
                  <w:spacing w:before="14"/>
                  <w:ind w:left="20" w:right="0" w:firstLine="0"/>
                  <w:jc w:val="left"/>
                  <w:rPr>
                    <w:b/>
                    <w:i/>
                    <w:sz w:val="18"/>
                  </w:rPr>
                </w:pPr>
                <w:r>
                  <w:rPr>
                    <w:b/>
                    <w:i/>
                    <w:sz w:val="18"/>
                  </w:rPr>
                  <w:t>May 2019</w:t>
                </w:r>
              </w:p>
            </w:txbxContent>
          </v:textbox>
          <w10:wrap type="none"/>
        </v:shape>
      </w:pict>
    </w:r>
    <w:r>
      <w:rPr/>
      <w:pict>
        <v:shape style="position:absolute;margin-left:497.339996pt;margin-top:773.828491pt;width:48.2pt;height:12.1pt;mso-position-horizontal-relative:page;mso-position-vertical-relative:page;z-index:-251796480" type="#_x0000_t202" filled="false" stroked="false">
          <v:textbox inset="0,0,0,0">
            <w:txbxContent>
              <w:p>
                <w:pPr>
                  <w:spacing w:before="14"/>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0pt;margin-top:55.772518pt;width:60.6pt;height:12.1pt;mso-position-horizontal-relative:page;mso-position-vertical-relative:page;z-index:-251800576" type="#_x0000_t202" filled="false" stroked="false">
          <v:textbox inset="0,0,0,0">
            <w:txbxContent>
              <w:p>
                <w:pPr>
                  <w:spacing w:before="14"/>
                  <w:ind w:left="20" w:right="0" w:firstLine="0"/>
                  <w:jc w:val="left"/>
                  <w:rPr>
                    <w:b/>
                    <w:i/>
                    <w:sz w:val="18"/>
                  </w:rPr>
                </w:pPr>
                <w:r>
                  <w:rPr>
                    <w:b/>
                    <w:i/>
                    <w:sz w:val="18"/>
                  </w:rPr>
                  <w:t>Clinical Trials</w:t>
                </w:r>
              </w:p>
            </w:txbxContent>
          </v:textbox>
          <w10:wrap type="none"/>
        </v:shape>
      </w:pict>
    </w:r>
    <w:r>
      <w:rPr/>
      <w:pict>
        <v:shape style="position:absolute;margin-left:430.829987pt;margin-top:55.772518pt;width:114.4pt;height:12.1pt;mso-position-horizontal-relative:page;mso-position-vertical-relative:page;z-index:-251799552" type="#_x0000_t202" filled="false" stroked="false">
          <v:textbox inset="0,0,0,0">
            <w:txbxContent>
              <w:p>
                <w:pPr>
                  <w:spacing w:before="14"/>
                  <w:ind w:left="20" w:right="0" w:firstLine="0"/>
                  <w:jc w:val="left"/>
                  <w:rPr>
                    <w:b/>
                    <w:i/>
                    <w:sz w:val="18"/>
                  </w:rPr>
                </w:pPr>
                <w:r>
                  <w:rPr>
                    <w:b/>
                    <w:i/>
                    <w:sz w:val="18"/>
                  </w:rPr>
                  <w:t>Clinical Trial Investigators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86" w:hanging="567"/>
        <w:jc w:val="left"/>
      </w:pPr>
      <w:rPr>
        <w:rFonts w:hint="default" w:ascii="Arial" w:hAnsi="Arial" w:eastAsia="Arial" w:cs="Arial"/>
        <w:b/>
        <w:bCs/>
        <w:spacing w:val="-1"/>
        <w:w w:val="99"/>
        <w:sz w:val="20"/>
        <w:szCs w:val="20"/>
        <w:lang w:val="en-US" w:eastAsia="en-US" w:bidi="en-US"/>
      </w:rPr>
    </w:lvl>
    <w:lvl w:ilvl="1">
      <w:start w:val="1"/>
      <w:numFmt w:val="decimal"/>
      <w:lvlText w:val="%2."/>
      <w:lvlJc w:val="left"/>
      <w:pPr>
        <w:ind w:left="1253" w:hanging="567"/>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2254" w:hanging="567"/>
      </w:pPr>
      <w:rPr>
        <w:rFonts w:hint="default"/>
        <w:lang w:val="en-US" w:eastAsia="en-US" w:bidi="en-US"/>
      </w:rPr>
    </w:lvl>
    <w:lvl w:ilvl="3">
      <w:start w:val="0"/>
      <w:numFmt w:val="bullet"/>
      <w:lvlText w:val="•"/>
      <w:lvlJc w:val="left"/>
      <w:pPr>
        <w:ind w:left="3248" w:hanging="567"/>
      </w:pPr>
      <w:rPr>
        <w:rFonts w:hint="default"/>
        <w:lang w:val="en-US" w:eastAsia="en-US" w:bidi="en-US"/>
      </w:rPr>
    </w:lvl>
    <w:lvl w:ilvl="4">
      <w:start w:val="0"/>
      <w:numFmt w:val="bullet"/>
      <w:lvlText w:val="•"/>
      <w:lvlJc w:val="left"/>
      <w:pPr>
        <w:ind w:left="4242" w:hanging="567"/>
      </w:pPr>
      <w:rPr>
        <w:rFonts w:hint="default"/>
        <w:lang w:val="en-US" w:eastAsia="en-US" w:bidi="en-US"/>
      </w:rPr>
    </w:lvl>
    <w:lvl w:ilvl="5">
      <w:start w:val="0"/>
      <w:numFmt w:val="bullet"/>
      <w:lvlText w:val="•"/>
      <w:lvlJc w:val="left"/>
      <w:pPr>
        <w:ind w:left="5236" w:hanging="567"/>
      </w:pPr>
      <w:rPr>
        <w:rFonts w:hint="default"/>
        <w:lang w:val="en-US" w:eastAsia="en-US" w:bidi="en-US"/>
      </w:rPr>
    </w:lvl>
    <w:lvl w:ilvl="6">
      <w:start w:val="0"/>
      <w:numFmt w:val="bullet"/>
      <w:lvlText w:val="•"/>
      <w:lvlJc w:val="left"/>
      <w:pPr>
        <w:ind w:left="6230" w:hanging="567"/>
      </w:pPr>
      <w:rPr>
        <w:rFonts w:hint="default"/>
        <w:lang w:val="en-US" w:eastAsia="en-US" w:bidi="en-US"/>
      </w:rPr>
    </w:lvl>
    <w:lvl w:ilvl="7">
      <w:start w:val="0"/>
      <w:numFmt w:val="bullet"/>
      <w:lvlText w:val="•"/>
      <w:lvlJc w:val="left"/>
      <w:pPr>
        <w:ind w:left="7224" w:hanging="567"/>
      </w:pPr>
      <w:rPr>
        <w:rFonts w:hint="default"/>
        <w:lang w:val="en-US" w:eastAsia="en-US" w:bidi="en-US"/>
      </w:rPr>
    </w:lvl>
    <w:lvl w:ilvl="8">
      <w:start w:val="0"/>
      <w:numFmt w:val="bullet"/>
      <w:lvlText w:val="•"/>
      <w:lvlJc w:val="left"/>
      <w:pPr>
        <w:ind w:left="8218" w:hanging="567"/>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120" w:hanging="567"/>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1253" w:hanging="567"/>
      <w:jc w:val="both"/>
    </w:pPr>
    <w:rPr>
      <w:rFonts w:ascii="Arial" w:hAnsi="Arial" w:eastAsia="Arial" w:cs="Arial"/>
      <w:lang w:val="en-US" w:eastAsia="en-US" w:bidi="en-US"/>
    </w:rPr>
  </w:style>
  <w:style w:styleId="TableParagraph" w:type="paragraph">
    <w:name w:val="Table Paragraph"/>
    <w:basedOn w:val="Normal"/>
    <w:uiPriority w:val="1"/>
    <w:qFormat/>
    <w:pPr>
      <w:spacing w:before="107"/>
      <w:ind w:left="9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MEDICINES CONTROL COUNCIL</dc:title>
  <dcterms:created xsi:type="dcterms:W3CDTF">2020-01-31T08:08:14Z</dcterms:created>
  <dcterms:modified xsi:type="dcterms:W3CDTF">2020-01-31T08:08:14Z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2016</vt:lpwstr>
  </property>
  <property fmtid="{D5CDD505-2E9C-101B-9397-08002B2CF9AE}" pid="4" name="LastSaved">
    <vt:filetime>2020-01-31T00:00:00Z</vt:filetime>
  </property>
</Properties>
</file>